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F0877" w14:textId="2B69BF06" w:rsidR="000F4344" w:rsidRDefault="000F4344" w:rsidP="00EF3DA9">
      <w:pPr>
        <w:jc w:val="right"/>
      </w:pPr>
      <w:r>
        <w:t xml:space="preserve">Warszawa, </w:t>
      </w:r>
      <w:r w:rsidR="00E77DED">
        <w:t>16 maja 2018</w:t>
      </w:r>
      <w:r>
        <w:t xml:space="preserve"> r. </w:t>
      </w:r>
    </w:p>
    <w:p w14:paraId="6483520A" w14:textId="1ECBB823" w:rsidR="00EF3DA9" w:rsidRDefault="00EF3DA9" w:rsidP="00EF3DA9">
      <w:r>
        <w:t>INFORMACJA PRASOWA</w:t>
      </w:r>
    </w:p>
    <w:p w14:paraId="12532620" w14:textId="77777777" w:rsidR="0015107B" w:rsidRDefault="0015107B">
      <w:pPr>
        <w:rPr>
          <w:b/>
          <w:sz w:val="32"/>
        </w:rPr>
      </w:pPr>
    </w:p>
    <w:p w14:paraId="6D8E9E98" w14:textId="084B6E40" w:rsidR="00F86163" w:rsidRDefault="003A3DDF" w:rsidP="0015107B">
      <w:pPr>
        <w:jc w:val="both"/>
        <w:rPr>
          <w:sz w:val="32"/>
        </w:rPr>
      </w:pPr>
      <w:r>
        <w:rPr>
          <w:b/>
          <w:sz w:val="32"/>
        </w:rPr>
        <w:t xml:space="preserve">Aktywne dziecko to szczęśliwe dziecko </w:t>
      </w:r>
    </w:p>
    <w:p w14:paraId="11B9017D" w14:textId="77777777" w:rsidR="00B972B6" w:rsidRDefault="00B972B6" w:rsidP="00F86163">
      <w:pPr>
        <w:jc w:val="both"/>
        <w:rPr>
          <w:b/>
        </w:rPr>
      </w:pPr>
    </w:p>
    <w:p w14:paraId="067D8870" w14:textId="2ECA834E" w:rsidR="00B972B6" w:rsidRPr="00E77DED" w:rsidRDefault="00346298" w:rsidP="00F86163">
      <w:pPr>
        <w:jc w:val="both"/>
        <w:rPr>
          <w:b/>
        </w:rPr>
      </w:pPr>
      <w:r>
        <w:rPr>
          <w:b/>
        </w:rPr>
        <w:t xml:space="preserve">Do prawidłowego rozwoju dziecka niezbędny jest ruch. Dzieci i młodzież powinny być aktywne przez minimum godzinę dziennie. Tę normę jednak wypełnia jedynie </w:t>
      </w:r>
      <w:r w:rsidR="007824B6">
        <w:rPr>
          <w:b/>
        </w:rPr>
        <w:t>c</w:t>
      </w:r>
      <w:r>
        <w:rPr>
          <w:b/>
        </w:rPr>
        <w:t>o czwarte polskie dziecko w</w:t>
      </w:r>
      <w:r w:rsidR="00135D64">
        <w:rPr>
          <w:b/>
        </w:rPr>
        <w:t> </w:t>
      </w:r>
      <w:r>
        <w:rPr>
          <w:b/>
        </w:rPr>
        <w:t>wieku 11-15 lat</w:t>
      </w:r>
      <w:r w:rsidR="003D153B">
        <w:rPr>
          <w:b/>
        </w:rPr>
        <w:t xml:space="preserve"> – wynika </w:t>
      </w:r>
      <w:r w:rsidR="00E77DED">
        <w:rPr>
          <w:b/>
        </w:rPr>
        <w:t>z raportu „Aktywność fizyczna dzieci w Polsce”</w:t>
      </w:r>
      <w:r w:rsidR="003D153B">
        <w:rPr>
          <w:b/>
        </w:rPr>
        <w:t>,</w:t>
      </w:r>
      <w:r w:rsidR="00E77DED">
        <w:rPr>
          <w:b/>
        </w:rPr>
        <w:t xml:space="preserve"> przygotowanego przez </w:t>
      </w:r>
      <w:r w:rsidR="00E77DED" w:rsidRPr="00E77DED">
        <w:rPr>
          <w:b/>
        </w:rPr>
        <w:t xml:space="preserve">Centrum Wyzwań Społecznych Uniwersytetu Warszawskiego na zlecenie Banku BGŻ BNP </w:t>
      </w:r>
      <w:proofErr w:type="spellStart"/>
      <w:r w:rsidR="00E77DED" w:rsidRPr="00E77DED">
        <w:rPr>
          <w:b/>
        </w:rPr>
        <w:t>Paribas</w:t>
      </w:r>
      <w:proofErr w:type="spellEnd"/>
      <w:r w:rsidR="00E77DED">
        <w:rPr>
          <w:b/>
        </w:rPr>
        <w:t xml:space="preserve">, organizatora akcji Dzieciaki do Rakiet. Rozpoczęła się właśnie trzecia edycja </w:t>
      </w:r>
      <w:r w:rsidR="007824B6">
        <w:rPr>
          <w:b/>
        </w:rPr>
        <w:t>inicjatywy</w:t>
      </w:r>
      <w:r w:rsidR="00E77DED">
        <w:rPr>
          <w:b/>
        </w:rPr>
        <w:t>, której celem jest promocja tenisa wśród dzieci, ich rodziców</w:t>
      </w:r>
      <w:r w:rsidR="00135D64">
        <w:rPr>
          <w:b/>
        </w:rPr>
        <w:t xml:space="preserve"> </w:t>
      </w:r>
      <w:r w:rsidR="00E77DED">
        <w:rPr>
          <w:b/>
        </w:rPr>
        <w:t xml:space="preserve">i nauczycieli, a zarazem </w:t>
      </w:r>
      <w:r w:rsidR="007824B6">
        <w:rPr>
          <w:b/>
        </w:rPr>
        <w:t xml:space="preserve">popularyzacja </w:t>
      </w:r>
      <w:r w:rsidR="00E77DED">
        <w:rPr>
          <w:b/>
        </w:rPr>
        <w:t xml:space="preserve">aktywnego stylu życia. </w:t>
      </w:r>
    </w:p>
    <w:p w14:paraId="31032F06" w14:textId="71F3BE9F" w:rsidR="00346298" w:rsidRDefault="00346298" w:rsidP="00F86163">
      <w:pPr>
        <w:jc w:val="both"/>
      </w:pPr>
      <w:r>
        <w:t>Co najmniej godzina ruchu – to norm</w:t>
      </w:r>
      <w:r w:rsidR="001B1F76">
        <w:t>a</w:t>
      </w:r>
      <w:r>
        <w:t xml:space="preserve"> określon</w:t>
      </w:r>
      <w:r w:rsidR="001B1F76">
        <w:t>a</w:t>
      </w:r>
      <w:bookmarkStart w:id="0" w:name="_GoBack"/>
      <w:bookmarkEnd w:id="0"/>
      <w:r>
        <w:t xml:space="preserve"> przez Światową Organizację</w:t>
      </w:r>
      <w:r w:rsidRPr="00346298">
        <w:t xml:space="preserve"> Zdrowia (ang. World </w:t>
      </w:r>
      <w:proofErr w:type="spellStart"/>
      <w:r w:rsidRPr="00346298">
        <w:t>Health</w:t>
      </w:r>
      <w:proofErr w:type="spellEnd"/>
      <w:r w:rsidRPr="00346298">
        <w:t xml:space="preserve"> Organization, WHO)</w:t>
      </w:r>
      <w:r>
        <w:t xml:space="preserve"> dla dzieci i młodzieży. Niestety w Polsce tę normę wypełnia jedynie co czwarte dziecko w wieku 11-15 lat. </w:t>
      </w:r>
      <w:r w:rsidR="00D07F0E">
        <w:t xml:space="preserve">Zdecydowanie aktywniejsi są chłopcy (29,8% wypełnia normy), niż dziewczynki (18,6%). </w:t>
      </w:r>
    </w:p>
    <w:p w14:paraId="51CB0A94" w14:textId="6D04C833" w:rsidR="00D07F0E" w:rsidRPr="00D07F0E" w:rsidRDefault="00D07F0E" w:rsidP="00F86163">
      <w:pPr>
        <w:jc w:val="both"/>
      </w:pPr>
      <w:r w:rsidRPr="006C1C66">
        <w:t xml:space="preserve">Sport ma bardzo </w:t>
      </w:r>
      <w:r w:rsidR="007824B6" w:rsidRPr="006C1C66">
        <w:t>silną</w:t>
      </w:r>
      <w:r w:rsidR="007824B6" w:rsidRPr="003D153B">
        <w:t xml:space="preserve"> </w:t>
      </w:r>
      <w:r w:rsidRPr="003D153B">
        <w:t xml:space="preserve">konkurencję – w dni powszednie co czwarte dziecko w wieku 11-15 lat </w:t>
      </w:r>
      <w:r w:rsidRPr="006C1C66">
        <w:t>spędza przed telewizorem minimum cztery godziny, zaś w weekendy jest to niemal połowa nastolatków w tym wieku! Tymczasem spędzanie przed ekranem więcej, niż dwóch godzin dziennie, ma negatywny wpływ na zdrowie dzieci.</w:t>
      </w:r>
      <w:r>
        <w:t xml:space="preserve"> </w:t>
      </w:r>
    </w:p>
    <w:p w14:paraId="284D712D" w14:textId="7613C08D" w:rsidR="00346298" w:rsidRDefault="00346298" w:rsidP="00F86163">
      <w:pPr>
        <w:jc w:val="both"/>
      </w:pPr>
      <w:r>
        <w:t xml:space="preserve">Jeszcze większy spadek aktywności następuje </w:t>
      </w:r>
      <w:r w:rsidR="00D07F0E">
        <w:t xml:space="preserve">u starszych nastolatków – zaledwie co dziesiąte dziecko w wieku 17-18 lat wypełnia minimum rekomendowane przez WHO. </w:t>
      </w:r>
    </w:p>
    <w:p w14:paraId="3C6A1B9F" w14:textId="3EAED1D0" w:rsidR="002F7E05" w:rsidRDefault="002F7E05" w:rsidP="00F86163">
      <w:pPr>
        <w:jc w:val="both"/>
      </w:pPr>
      <w:r>
        <w:rPr>
          <w:i/>
        </w:rPr>
        <w:t xml:space="preserve">– </w:t>
      </w:r>
      <w:r w:rsidRPr="002F7E05">
        <w:rPr>
          <w:i/>
        </w:rPr>
        <w:t>Regularna aktywność fizyczna jest ważna, naturalna i dobra. Wpływa całościowo na większość kluczowych obszarów życia: daje sprawność i odporność, zwiększa kompetencje społeczne, uczy jak radzić sobie ze stresem, jak zarządzać emocjami. Przynosi radość z jednej strony</w:t>
      </w:r>
      <w:r>
        <w:rPr>
          <w:i/>
        </w:rPr>
        <w:t>, z drugiej zaś</w:t>
      </w:r>
      <w:r w:rsidRPr="002F7E05">
        <w:rPr>
          <w:i/>
        </w:rPr>
        <w:t xml:space="preserve"> rozwija wytrwałość</w:t>
      </w:r>
      <w:r>
        <w:rPr>
          <w:i/>
        </w:rPr>
        <w:t xml:space="preserve"> i </w:t>
      </w:r>
      <w:r w:rsidRPr="002F7E05">
        <w:rPr>
          <w:i/>
        </w:rPr>
        <w:t>obowiązkowość</w:t>
      </w:r>
      <w:r>
        <w:rPr>
          <w:i/>
        </w:rPr>
        <w:t>.  Ale najważniejsze:</w:t>
      </w:r>
      <w:r w:rsidRPr="002F7E05">
        <w:rPr>
          <w:i/>
        </w:rPr>
        <w:t xml:space="preserve"> jest czystą frajdą, radością </w:t>
      </w:r>
      <w:r>
        <w:rPr>
          <w:i/>
        </w:rPr>
        <w:t>–</w:t>
      </w:r>
      <w:r w:rsidRPr="002F7E05">
        <w:rPr>
          <w:i/>
        </w:rPr>
        <w:t xml:space="preserve"> szczególnie, gdy dziec</w:t>
      </w:r>
      <w:r>
        <w:rPr>
          <w:i/>
        </w:rPr>
        <w:t xml:space="preserve">i mogą próbować czegoś nowego – </w:t>
      </w:r>
      <w:r>
        <w:t xml:space="preserve">powiedziała Aleksandra </w:t>
      </w:r>
      <w:proofErr w:type="spellStart"/>
      <w:r>
        <w:t>Gołdys</w:t>
      </w:r>
      <w:proofErr w:type="spellEnd"/>
      <w:r>
        <w:t xml:space="preserve"> z </w:t>
      </w:r>
      <w:r w:rsidRPr="00E77DED">
        <w:t>Centrum Wyzwań Społecznych Uniwersytetu Warszawskiego</w:t>
      </w:r>
      <w:r>
        <w:t>, współautorka r</w:t>
      </w:r>
      <w:r w:rsidRPr="00346298">
        <w:t>aport</w:t>
      </w:r>
      <w:r>
        <w:t>u</w:t>
      </w:r>
      <w:r w:rsidRPr="00E77DED">
        <w:t xml:space="preserve"> „Aktywność fizyczna dzieci w Polsce”</w:t>
      </w:r>
      <w:r>
        <w:t xml:space="preserve">. </w:t>
      </w:r>
    </w:p>
    <w:p w14:paraId="5E9C1DFB" w14:textId="77777777" w:rsidR="003A3DDF" w:rsidRPr="002F7E05" w:rsidRDefault="003A3DDF" w:rsidP="00F86163">
      <w:pPr>
        <w:jc w:val="both"/>
      </w:pPr>
    </w:p>
    <w:p w14:paraId="4742ABFC" w14:textId="56D0C042" w:rsidR="00346298" w:rsidRPr="00D07F0E" w:rsidRDefault="00D07F0E" w:rsidP="00F86163">
      <w:pPr>
        <w:jc w:val="both"/>
        <w:rPr>
          <w:b/>
        </w:rPr>
      </w:pPr>
      <w:r>
        <w:rPr>
          <w:b/>
        </w:rPr>
        <w:t>Lekarstwem jest tenis!</w:t>
      </w:r>
    </w:p>
    <w:p w14:paraId="2E23604A" w14:textId="6B8149BB" w:rsidR="00E77DED" w:rsidRDefault="00346298" w:rsidP="00F86163">
      <w:pPr>
        <w:jc w:val="both"/>
      </w:pPr>
      <w:r w:rsidRPr="00346298">
        <w:t>Raport</w:t>
      </w:r>
      <w:r w:rsidR="00E77DED" w:rsidRPr="00E77DED">
        <w:t xml:space="preserve"> „Aktywność fizyczna dzieci w Polsce” </w:t>
      </w:r>
      <w:r>
        <w:t xml:space="preserve">został </w:t>
      </w:r>
      <w:r w:rsidR="00E77DED" w:rsidRPr="00E77DED">
        <w:t xml:space="preserve">przygotowany </w:t>
      </w:r>
      <w:r>
        <w:t xml:space="preserve">przez </w:t>
      </w:r>
      <w:r w:rsidR="00E77DED" w:rsidRPr="00E77DED">
        <w:t>Centrum Wyzwań Społecznych Uniwersytetu Warszawskiego</w:t>
      </w:r>
      <w:r>
        <w:t xml:space="preserve"> na zlecenie </w:t>
      </w:r>
      <w:r w:rsidR="00E77DED" w:rsidRPr="00E77DED">
        <w:t xml:space="preserve">Banku BGŻ BNP </w:t>
      </w:r>
      <w:proofErr w:type="spellStart"/>
      <w:r w:rsidR="00E77DED" w:rsidRPr="00E77DED">
        <w:t>Paribas</w:t>
      </w:r>
      <w:proofErr w:type="spellEnd"/>
      <w:r w:rsidR="00E77DED" w:rsidRPr="00E77DED">
        <w:t>, organizatora akcji Dzieciaki do Rakiet</w:t>
      </w:r>
      <w:r>
        <w:t xml:space="preserve">. </w:t>
      </w:r>
    </w:p>
    <w:p w14:paraId="5FC3B090" w14:textId="0DCDC21C" w:rsidR="00346298" w:rsidRDefault="00346298" w:rsidP="00AE0F08">
      <w:pPr>
        <w:jc w:val="both"/>
      </w:pPr>
      <w:r w:rsidRPr="007E5A74">
        <w:rPr>
          <w:i/>
        </w:rPr>
        <w:t xml:space="preserve">– </w:t>
      </w:r>
      <w:r w:rsidR="007E5A74" w:rsidRPr="007E5A74">
        <w:rPr>
          <w:i/>
        </w:rPr>
        <w:t xml:space="preserve">Grupa BNP </w:t>
      </w:r>
      <w:proofErr w:type="spellStart"/>
      <w:r w:rsidR="007E5A74" w:rsidRPr="007E5A74">
        <w:rPr>
          <w:i/>
        </w:rPr>
        <w:t>Paribas</w:t>
      </w:r>
      <w:proofErr w:type="spellEnd"/>
      <w:r w:rsidR="007E5A74" w:rsidRPr="007E5A74">
        <w:rPr>
          <w:i/>
        </w:rPr>
        <w:t xml:space="preserve"> wspiera tenis już od 44 lat i jest największym sponsorem tego sportu na świecie. Promując tenis w Polsce, szczególną wagę przywiązujemy do </w:t>
      </w:r>
      <w:r w:rsidR="007E5A74">
        <w:rPr>
          <w:i/>
        </w:rPr>
        <w:t>budzenia tenisowej pasji u</w:t>
      </w:r>
      <w:r w:rsidR="00135D64">
        <w:rPr>
          <w:i/>
        </w:rPr>
        <w:t> </w:t>
      </w:r>
      <w:r w:rsidR="007E5A74">
        <w:rPr>
          <w:i/>
        </w:rPr>
        <w:t xml:space="preserve">najmłodszych. Stąd pomysł na opracowanie raportu, który pozwala nam jeszcze lepiej poznać realia związane z aktywnością polskich dzieci. Wszystkim nam, dorosłym, powinno zależeć na tym, żeby budzić wśród dzieci zamiłowanie do sportu. Dlatego poprzez akcję Dzieciaki do Rakiet już trzeci rok zachęcamy je do gry w tenisa. Bo to piękny sport, kształtujący i ciało, i charakter. Tego lata pojawimy </w:t>
      </w:r>
      <w:r w:rsidR="007E5A74">
        <w:rPr>
          <w:i/>
        </w:rPr>
        <w:lastRenderedPageBreak/>
        <w:t xml:space="preserve">się w najpopularniejszych miejscowościach wypoczynkowych, zaś jesienią </w:t>
      </w:r>
      <w:r w:rsidR="00903D7B">
        <w:rPr>
          <w:i/>
        </w:rPr>
        <w:t xml:space="preserve">znów </w:t>
      </w:r>
      <w:r w:rsidR="007E5A74">
        <w:rPr>
          <w:i/>
        </w:rPr>
        <w:t xml:space="preserve">będziemy wprowadzać tenis do szkół. </w:t>
      </w:r>
      <w:r w:rsidR="00903D7B">
        <w:rPr>
          <w:i/>
        </w:rPr>
        <w:t>Każdego rodzica i nauczyciela zachęcam do śledzenia akcji Dzieciaki d</w:t>
      </w:r>
      <w:r w:rsidR="00903D7B" w:rsidRPr="00AE0F08">
        <w:rPr>
          <w:i/>
        </w:rPr>
        <w:t xml:space="preserve">o Rakiet! </w:t>
      </w:r>
      <w:r w:rsidRPr="00AE0F08">
        <w:rPr>
          <w:i/>
        </w:rPr>
        <w:t xml:space="preserve">– </w:t>
      </w:r>
      <w:r w:rsidRPr="00AE0F08">
        <w:t>powiedział</w:t>
      </w:r>
      <w:r w:rsidR="003A3DDF" w:rsidRPr="00AE0F08">
        <w:t xml:space="preserve"> Piotr </w:t>
      </w:r>
      <w:proofErr w:type="spellStart"/>
      <w:r w:rsidR="003A3DDF" w:rsidRPr="00AE0F08">
        <w:t>Machel</w:t>
      </w:r>
      <w:proofErr w:type="spellEnd"/>
      <w:r w:rsidR="003A3DDF" w:rsidRPr="00AE0F08">
        <w:t xml:space="preserve">, Dyrektor Zarządzający Pionu Komunikacji Banku </w:t>
      </w:r>
      <w:r w:rsidRPr="00AE0F08">
        <w:t xml:space="preserve">BGŻ BNP </w:t>
      </w:r>
      <w:proofErr w:type="spellStart"/>
      <w:r w:rsidRPr="00AE0F08">
        <w:t>Paribas</w:t>
      </w:r>
      <w:proofErr w:type="spellEnd"/>
      <w:r w:rsidRPr="00AE0F08">
        <w:t>.</w:t>
      </w:r>
      <w:r>
        <w:t xml:space="preserve"> </w:t>
      </w:r>
    </w:p>
    <w:p w14:paraId="36DA4222" w14:textId="501443B3" w:rsidR="00903D7B" w:rsidRDefault="00903D7B" w:rsidP="00F86163">
      <w:pPr>
        <w:jc w:val="both"/>
      </w:pPr>
      <w:r w:rsidRPr="00903D7B">
        <w:t xml:space="preserve">Dzieciaki do Rakiet to ogólnopolska akcja mająca na celu popularyzację tenisa wśród dzieci w wieku 5-12 lat oraz ich rodziców i nauczycieli. Organizowana przez Bank BGŻ BNP </w:t>
      </w:r>
      <w:proofErr w:type="spellStart"/>
      <w:r w:rsidRPr="00903D7B">
        <w:t>Paribas</w:t>
      </w:r>
      <w:proofErr w:type="spellEnd"/>
      <w:r w:rsidRPr="00903D7B">
        <w:t xml:space="preserve"> i Polski Związek Tenisowy od 2016 roku pozwoliła </w:t>
      </w:r>
      <w:r>
        <w:t xml:space="preserve">jak dotąd </w:t>
      </w:r>
      <w:r w:rsidRPr="00903D7B">
        <w:t xml:space="preserve">kilku tysiącom dzieci w Polsce spróbować gry w tenisa. Jesienią 2017 roku akcja </w:t>
      </w:r>
      <w:r w:rsidR="006C1C66">
        <w:t>ruszyła</w:t>
      </w:r>
      <w:r w:rsidR="006C1C66" w:rsidRPr="00903D7B">
        <w:t xml:space="preserve"> </w:t>
      </w:r>
      <w:r w:rsidR="006C1C66">
        <w:t>w</w:t>
      </w:r>
      <w:r w:rsidR="006C1C66" w:rsidRPr="00903D7B">
        <w:t xml:space="preserve"> </w:t>
      </w:r>
      <w:r w:rsidRPr="00903D7B">
        <w:t>szk</w:t>
      </w:r>
      <w:r w:rsidR="006C1C66">
        <w:t>ołach</w:t>
      </w:r>
      <w:r w:rsidRPr="00903D7B">
        <w:t xml:space="preserve"> podstawowych </w:t>
      </w:r>
      <w:r>
        <w:t>–</w:t>
      </w:r>
      <w:r w:rsidRPr="00903D7B">
        <w:t xml:space="preserve"> </w:t>
      </w:r>
      <w:r w:rsidR="006C1C66">
        <w:t>te</w:t>
      </w:r>
      <w:r w:rsidR="006C1C66" w:rsidRPr="00903D7B">
        <w:t xml:space="preserve"> </w:t>
      </w:r>
      <w:r w:rsidRPr="00903D7B">
        <w:t>zakwalifikowane do programu otrzymały sprzęt tenisowy, a ich nauczyciele zostali przeszkoleni tak, by wprowadzić grę w tenisa</w:t>
      </w:r>
      <w:r w:rsidR="00366B6D">
        <w:t xml:space="preserve"> do programu lekcji</w:t>
      </w:r>
      <w:r w:rsidRPr="00903D7B">
        <w:t xml:space="preserve"> </w:t>
      </w:r>
      <w:r w:rsidR="00366B6D">
        <w:t>wychowania fizycznego</w:t>
      </w:r>
      <w:r w:rsidRPr="00903D7B">
        <w:t xml:space="preserve">. </w:t>
      </w:r>
    </w:p>
    <w:p w14:paraId="7B95B84E" w14:textId="02E53F5C" w:rsidR="00903D7B" w:rsidRDefault="00903D7B" w:rsidP="00F86163">
      <w:pPr>
        <w:jc w:val="both"/>
      </w:pPr>
      <w:r>
        <w:t xml:space="preserve">W tym roku dzieci będą mogły spróbować swoich sił na korcie w najpopularniejszych miejscowościach wypoczynkowych. Odbędą się tam bezpłatne treningi przeprowadzone przez profesjonalnych trenerów. Jesienią zaś do zabawy zostaną zaproszone szkoły. Każda podstawówka może zgłosić się do konkursu, w ramach którego zostanie wyłonionych 70 szkół. Otrzymają one sprzęt tenisowy, zaś ich nauczyciele przejdą szkolenia organizowane przez Polski Związek Tenisowy tak, by tenis mógł pojawić się na lekcjach WF. </w:t>
      </w:r>
    </w:p>
    <w:p w14:paraId="27AED67E" w14:textId="103DBA8C" w:rsidR="00903D7B" w:rsidRDefault="00903D7B" w:rsidP="00F86163">
      <w:pPr>
        <w:jc w:val="both"/>
      </w:pPr>
      <w:r>
        <w:t xml:space="preserve">– </w:t>
      </w:r>
      <w:r>
        <w:rPr>
          <w:i/>
        </w:rPr>
        <w:t xml:space="preserve">Kiedy zaczynałam swoją przygodę z tenisem, </w:t>
      </w:r>
      <w:r w:rsidR="00366B6D">
        <w:rPr>
          <w:i/>
        </w:rPr>
        <w:t>nie było takich możliwości. L</w:t>
      </w:r>
      <w:r>
        <w:rPr>
          <w:i/>
        </w:rPr>
        <w:t xml:space="preserve">ekcje tenisowe w ramach szkolnego WF-u </w:t>
      </w:r>
      <w:r w:rsidR="00366B6D">
        <w:rPr>
          <w:i/>
        </w:rPr>
        <w:t xml:space="preserve">czy darmowe treningi pod okiem profesjonalnych trenerów były wtedy czymś nieosiągalnym. Bardzo się cieszę, że dziś dzieci mają tyle okazji, żeby poznać ten piękny sport. To dyscyplina idealna dla dzieci, kształtująca kondycję, koordynację, wytrzymałość czy umiejętność analitycznego myślenia. Dla mnie to życiowa </w:t>
      </w:r>
      <w:r w:rsidR="00A0616D">
        <w:rPr>
          <w:i/>
        </w:rPr>
        <w:t xml:space="preserve">pasja </w:t>
      </w:r>
      <w:r w:rsidR="00366B6D">
        <w:rPr>
          <w:i/>
        </w:rPr>
        <w:t xml:space="preserve">i mam nadzieję, że </w:t>
      </w:r>
      <w:r w:rsidR="002E26BF">
        <w:rPr>
          <w:i/>
        </w:rPr>
        <w:t>wiele dzieciaków złapie tenisowego bakcyla. Z zainteresowaniem śledziłam akcję Dzieciaki do Rakiet w ubiegłych latach i</w:t>
      </w:r>
      <w:r w:rsidR="00135D64">
        <w:rPr>
          <w:i/>
        </w:rPr>
        <w:t> </w:t>
      </w:r>
      <w:r w:rsidR="002E26BF">
        <w:rPr>
          <w:i/>
        </w:rPr>
        <w:t xml:space="preserve">bardzo się cieszę, że dziś mogę być jej częścią w roli ambasadora </w:t>
      </w:r>
      <w:r w:rsidR="002E26BF">
        <w:t xml:space="preserve">– powiedziała </w:t>
      </w:r>
      <w:r w:rsidR="002E26BF" w:rsidRPr="002F7E05">
        <w:rPr>
          <w:b/>
        </w:rPr>
        <w:t>Urszula Radwań</w:t>
      </w:r>
      <w:r w:rsidR="007437B2" w:rsidRPr="002F7E05">
        <w:rPr>
          <w:b/>
        </w:rPr>
        <w:t>ska</w:t>
      </w:r>
      <w:r w:rsidR="007437B2">
        <w:t>, czołowa polska tenisistka</w:t>
      </w:r>
      <w:r w:rsidR="009554DB">
        <w:t>, ambasadorka akcji Dzieciaki do Rakiet</w:t>
      </w:r>
      <w:r w:rsidR="007437B2">
        <w:t xml:space="preserve">. </w:t>
      </w:r>
    </w:p>
    <w:p w14:paraId="263719F3" w14:textId="77777777" w:rsidR="003A3DDF" w:rsidRPr="002E26BF" w:rsidRDefault="003A3DDF" w:rsidP="00F86163">
      <w:pPr>
        <w:jc w:val="both"/>
      </w:pPr>
    </w:p>
    <w:p w14:paraId="7D89C134" w14:textId="288F449F" w:rsidR="00D07F0E" w:rsidRDefault="00D07F0E" w:rsidP="00F86163">
      <w:pPr>
        <w:jc w:val="both"/>
        <w:rPr>
          <w:b/>
        </w:rPr>
      </w:pPr>
      <w:r>
        <w:rPr>
          <w:b/>
        </w:rPr>
        <w:t>Rodzice, wszystko zależy od was!</w:t>
      </w:r>
    </w:p>
    <w:p w14:paraId="66C823A3" w14:textId="2CF0A4D6" w:rsidR="007D2CCC" w:rsidRDefault="007437B2" w:rsidP="00F86163">
      <w:pPr>
        <w:jc w:val="both"/>
      </w:pPr>
      <w:r>
        <w:t xml:space="preserve">Kluczową rolę </w:t>
      </w:r>
      <w:r w:rsidR="007D2CCC">
        <w:t xml:space="preserve">w kształtowaniu sportowych pasji dzieci odgrywają rodzice. Najlepszym sposobem na zaktywizowanie dzieci jest wspólne uprawianie sportu. W grupie dzieci, których rodzice są aktywni, </w:t>
      </w:r>
      <w:r w:rsidR="007D2CCC" w:rsidRPr="007D2CCC">
        <w:t xml:space="preserve">procent dzieci wypełniających rekomendacje WHO jest ponad dwukrotnie wyższy niż w grupie dzieci, których rodzice w ogóle nie </w:t>
      </w:r>
      <w:r w:rsidR="007D2CCC">
        <w:t>uprawiają sportu</w:t>
      </w:r>
      <w:r w:rsidR="007D2CCC" w:rsidRPr="007D2CCC">
        <w:t>.</w:t>
      </w:r>
      <w:r w:rsidR="007D2CCC">
        <w:t xml:space="preserve"> </w:t>
      </w:r>
    </w:p>
    <w:p w14:paraId="3830B30E" w14:textId="0416F543" w:rsidR="00F233F6" w:rsidRDefault="00F233F6" w:rsidP="00F233F6">
      <w:r>
        <w:t xml:space="preserve">Główną przyczyną opuszczania lekcji WF przez dzieci są zwolnienia wypisywane przez rodziców, a nie zwolnienia lekarskie. Aż 2/3 dzieci opuściło lekcje WF przynosząc usprawiedliwienie od rodziców, a co piąty uczeń był w ten sposób zwolniony z więcej niż 5 lekcji. </w:t>
      </w:r>
    </w:p>
    <w:p w14:paraId="142089F0" w14:textId="2619E175" w:rsidR="007D2CCC" w:rsidRDefault="007D2CCC" w:rsidP="007D2CCC">
      <w:pPr>
        <w:jc w:val="both"/>
      </w:pPr>
      <w:r>
        <w:t xml:space="preserve">Większej aktywności fizycznej dzieci sprzyja nie tylko aktywność rodziców, ale także dobre relacje wewnątrz rodziny czy np. wspólne jedzenie obiadów. </w:t>
      </w:r>
      <w:r w:rsidRPr="007D2CCC">
        <w:t xml:space="preserve">Wśród dzieci, które wysoko oceniają komunikację w swojej rodzinie, rekomendacje </w:t>
      </w:r>
      <w:r>
        <w:t xml:space="preserve">WHO </w:t>
      </w:r>
      <w:r w:rsidRPr="007D2CCC">
        <w:t>wypełnia około 28%, a wśród tych, które oceniają ją nisko – około 17%.</w:t>
      </w:r>
      <w:r>
        <w:t xml:space="preserve"> </w:t>
      </w:r>
    </w:p>
    <w:p w14:paraId="6CAC89A1" w14:textId="08744488" w:rsidR="002F7E05" w:rsidRDefault="002F7E05" w:rsidP="002F7E05">
      <w:pPr>
        <w:jc w:val="both"/>
      </w:pPr>
      <w:r>
        <w:t xml:space="preserve">– </w:t>
      </w:r>
      <w:r w:rsidR="009554DB" w:rsidRPr="009554DB">
        <w:rPr>
          <w:i/>
        </w:rPr>
        <w:t>Do tenisa zachęcił mnie mój tata. On po raz pierwszy zaprowadził mnie na kort, zabierał mnie na turnieje tenisowe i rozwijał we mnie tę pasję. Wtedy nie było takich możliwości, jakie są teraz, między innymi dzięki akcji Dzieciaki do Rakiet. Bardzo się cieszę, że</w:t>
      </w:r>
      <w:r w:rsidR="009554DB">
        <w:rPr>
          <w:i/>
        </w:rPr>
        <w:t xml:space="preserve"> zostałem wychowany w </w:t>
      </w:r>
      <w:r>
        <w:rPr>
          <w:i/>
        </w:rPr>
        <w:t>sportowym duchu</w:t>
      </w:r>
      <w:r w:rsidR="009554DB">
        <w:rPr>
          <w:i/>
        </w:rPr>
        <w:t xml:space="preserve">, bo dzięki temu tenis stał się najwspanialszą przygodą mojego życia. </w:t>
      </w:r>
      <w:r>
        <w:rPr>
          <w:i/>
        </w:rPr>
        <w:t xml:space="preserve">Każdemu życzę takiej przygody, dlatego z ogromną przyjemnością już kolejny rok wspieram akcję Dzieciaki do Rakiet – </w:t>
      </w:r>
      <w:r>
        <w:t xml:space="preserve">powiedział </w:t>
      </w:r>
      <w:r w:rsidRPr="002F7E05">
        <w:rPr>
          <w:b/>
        </w:rPr>
        <w:t>Mariusz Fyrstenberg</w:t>
      </w:r>
      <w:r>
        <w:t xml:space="preserve">, ambasador akcji Dzieciaki do Rakiet, który podczas swojej bogatej </w:t>
      </w:r>
      <w:r>
        <w:lastRenderedPageBreak/>
        <w:t xml:space="preserve">kariery grał na najwspanialszych kortach na świecie oraz reprezentował Polskę na Igrzyskach Olimpijskich.  </w:t>
      </w:r>
    </w:p>
    <w:p w14:paraId="1243D674" w14:textId="7FD19818" w:rsidR="00E77DED" w:rsidRPr="00D07F0E" w:rsidRDefault="007E5A74" w:rsidP="00F86163">
      <w:pPr>
        <w:jc w:val="both"/>
        <w:rPr>
          <w:b/>
        </w:rPr>
      </w:pPr>
      <w:r>
        <w:rPr>
          <w:b/>
        </w:rPr>
        <w:t>Tenis na WF!</w:t>
      </w:r>
    </w:p>
    <w:p w14:paraId="0AEA328E" w14:textId="17DDA244" w:rsidR="002F7E05" w:rsidRDefault="002F7E05" w:rsidP="002F7E05">
      <w:pPr>
        <w:jc w:val="both"/>
      </w:pPr>
      <w:r>
        <w:t xml:space="preserve">Podstawą treningów tenisa dla dzieci jest dobra zabawa. </w:t>
      </w:r>
      <w:r w:rsidR="008A5B01">
        <w:t xml:space="preserve">Zajęcia prowadzone zgodnie z </w:t>
      </w:r>
      <w:r w:rsidR="00555BD2">
        <w:t>programem Tenis 10, wprowadzonym przez Międzynarodową Federację Tenisową i funkcjonującym w 50 krajach na całym świecie, wykorzystują różnorodne ćwiczenia ogólnorozwojowe oraz elementy</w:t>
      </w:r>
      <w:r>
        <w:t xml:space="preserve"> innych dyscyplin sportowych</w:t>
      </w:r>
      <w:r w:rsidR="00555BD2">
        <w:t xml:space="preserve"> tak</w:t>
      </w:r>
      <w:r>
        <w:t>,</w:t>
      </w:r>
      <w:r w:rsidR="00555BD2">
        <w:t xml:space="preserve"> by</w:t>
      </w:r>
      <w:r>
        <w:t xml:space="preserve"> treningi tenisa </w:t>
      </w:r>
      <w:r w:rsidR="00555BD2">
        <w:t xml:space="preserve">były </w:t>
      </w:r>
      <w:r>
        <w:t xml:space="preserve">dla dzieci sportową zabawą. </w:t>
      </w:r>
    </w:p>
    <w:p w14:paraId="176433A6" w14:textId="5AF196D4" w:rsidR="00555BD2" w:rsidRDefault="00555BD2" w:rsidP="002F7E05">
      <w:pPr>
        <w:jc w:val="both"/>
      </w:pPr>
      <w:r>
        <w:t xml:space="preserve">Jesienią akcja Dzieciaki do Rakiet znów wkroczy do szkół. We wrześniu wystartuje konkurs dla wszystkich szkół podstawowych w Polsce. Finalnie do programu zakwalifikuje się 70 szkół, które otrzymają sprzęt tenisowy oraz pakiety szkoleń dla nauczycieli. Dzięki akcji Dzieciaki do Rakiet tenis będzie mógł pojawić się na lekcjach WF w tych podstawówkach. </w:t>
      </w:r>
    </w:p>
    <w:p w14:paraId="127D1273" w14:textId="34760571" w:rsidR="0015107B" w:rsidRDefault="0015107B" w:rsidP="00CF644A">
      <w:pPr>
        <w:jc w:val="both"/>
      </w:pPr>
      <w:r>
        <w:t xml:space="preserve">Więcej szczegółów na stronie </w:t>
      </w:r>
      <w:hyperlink r:id="rId8" w:history="1">
        <w:r w:rsidRPr="001167D3">
          <w:rPr>
            <w:rStyle w:val="Hipercze"/>
          </w:rPr>
          <w:t>www.dzieciakidorakiet.pl</w:t>
        </w:r>
      </w:hyperlink>
    </w:p>
    <w:p w14:paraId="3AC65346" w14:textId="14FC7CE9" w:rsidR="007422A3" w:rsidRDefault="007422A3" w:rsidP="00CF644A">
      <w:pPr>
        <w:jc w:val="both"/>
      </w:pPr>
      <w:r>
        <w:t xml:space="preserve">Akcję </w:t>
      </w:r>
      <w:r w:rsidR="00534E85" w:rsidRPr="00135D64">
        <w:t>Dzieciaki do Rakiet</w:t>
      </w:r>
      <w:r w:rsidR="00534E85">
        <w:rPr>
          <w:i/>
        </w:rPr>
        <w:t xml:space="preserve"> </w:t>
      </w:r>
      <w:r>
        <w:t>real</w:t>
      </w:r>
      <w:r w:rsidR="00F233F6">
        <w:t>izuje</w:t>
      </w:r>
      <w:r w:rsidR="000375CF">
        <w:t xml:space="preserve"> </w:t>
      </w:r>
      <w:r w:rsidR="002E0A3F">
        <w:t xml:space="preserve">Bank </w:t>
      </w:r>
      <w:r>
        <w:t xml:space="preserve">BGŻ BNP </w:t>
      </w:r>
      <w:proofErr w:type="spellStart"/>
      <w:r w:rsidR="000375CF">
        <w:t>Paribas</w:t>
      </w:r>
      <w:proofErr w:type="spellEnd"/>
      <w:r w:rsidR="000375CF">
        <w:t xml:space="preserve"> </w:t>
      </w:r>
      <w:r w:rsidR="00F233F6">
        <w:t>pod patronatem Polskiego Związku Tenisowego</w:t>
      </w:r>
      <w:r>
        <w:t xml:space="preserve">. </w:t>
      </w:r>
    </w:p>
    <w:p w14:paraId="610D845F" w14:textId="77777777" w:rsidR="003A3DDF" w:rsidRDefault="003A3DDF" w:rsidP="00CF644A">
      <w:pPr>
        <w:jc w:val="both"/>
      </w:pPr>
    </w:p>
    <w:p w14:paraId="56735428" w14:textId="4BECB50E" w:rsidR="00112700" w:rsidRPr="00CF644A" w:rsidRDefault="00CF644A" w:rsidP="00CF644A">
      <w:pPr>
        <w:jc w:val="both"/>
        <w:rPr>
          <w:b/>
          <w:i/>
        </w:rPr>
      </w:pPr>
      <w:r w:rsidRPr="00CF644A">
        <w:rPr>
          <w:b/>
        </w:rPr>
        <w:t xml:space="preserve">Harmonogram akcji </w:t>
      </w:r>
      <w:r w:rsidRPr="00CF644A">
        <w:rPr>
          <w:b/>
          <w:i/>
        </w:rPr>
        <w:t>Dzieciaki do Rakiet</w:t>
      </w:r>
      <w:r w:rsidR="003D153B">
        <w:rPr>
          <w:b/>
          <w:i/>
        </w:rPr>
        <w:t>:</w:t>
      </w:r>
    </w:p>
    <w:p w14:paraId="6F0BD376" w14:textId="0A8E69E5" w:rsidR="00F233F6" w:rsidRDefault="00F233F6" w:rsidP="0015107B">
      <w:pPr>
        <w:pStyle w:val="Akapitzlist"/>
        <w:numPr>
          <w:ilvl w:val="2"/>
          <w:numId w:val="3"/>
        </w:numPr>
        <w:ind w:left="709"/>
        <w:jc w:val="both"/>
      </w:pPr>
      <w:r>
        <w:t xml:space="preserve">30 czerwca – </w:t>
      </w:r>
      <w:r w:rsidRPr="00F233F6">
        <w:rPr>
          <w:b/>
        </w:rPr>
        <w:t>Karpacz</w:t>
      </w:r>
      <w:r>
        <w:t xml:space="preserve">, deptak </w:t>
      </w:r>
    </w:p>
    <w:p w14:paraId="1D8A1E28" w14:textId="39ABE340" w:rsidR="009F45A0" w:rsidRDefault="009F45A0" w:rsidP="009F45A0">
      <w:pPr>
        <w:pStyle w:val="Akapitzlist"/>
        <w:numPr>
          <w:ilvl w:val="2"/>
          <w:numId w:val="3"/>
        </w:numPr>
        <w:ind w:left="709"/>
        <w:jc w:val="both"/>
      </w:pPr>
      <w:r>
        <w:t xml:space="preserve">7 lipca – </w:t>
      </w:r>
      <w:r>
        <w:rPr>
          <w:b/>
        </w:rPr>
        <w:t>Świnoujście</w:t>
      </w:r>
      <w:r>
        <w:t xml:space="preserve">, Plaża Miejska </w:t>
      </w:r>
    </w:p>
    <w:p w14:paraId="6AD1B80B" w14:textId="7875CEAF" w:rsidR="00F233F6" w:rsidRDefault="00F233F6" w:rsidP="0015107B">
      <w:pPr>
        <w:pStyle w:val="Akapitzlist"/>
        <w:numPr>
          <w:ilvl w:val="2"/>
          <w:numId w:val="3"/>
        </w:numPr>
        <w:ind w:left="709"/>
        <w:jc w:val="both"/>
      </w:pPr>
      <w:r>
        <w:t xml:space="preserve">14 lipca – </w:t>
      </w:r>
      <w:r w:rsidRPr="00F233F6">
        <w:rPr>
          <w:b/>
        </w:rPr>
        <w:t>Międzyzdroje</w:t>
      </w:r>
      <w:r>
        <w:t xml:space="preserve">, </w:t>
      </w:r>
      <w:r w:rsidR="009F45A0">
        <w:t>P</w:t>
      </w:r>
      <w:r>
        <w:t xml:space="preserve">laża </w:t>
      </w:r>
      <w:r w:rsidR="009F45A0">
        <w:t>M</w:t>
      </w:r>
      <w:r>
        <w:t>iejska przy molo</w:t>
      </w:r>
    </w:p>
    <w:p w14:paraId="63CE615E" w14:textId="7484A236" w:rsidR="00F233F6" w:rsidRDefault="00F233F6" w:rsidP="0015107B">
      <w:pPr>
        <w:pStyle w:val="Akapitzlist"/>
        <w:numPr>
          <w:ilvl w:val="2"/>
          <w:numId w:val="3"/>
        </w:numPr>
        <w:ind w:left="709"/>
        <w:jc w:val="both"/>
      </w:pPr>
      <w:r>
        <w:t xml:space="preserve">21 lipca – </w:t>
      </w:r>
      <w:r w:rsidRPr="00F233F6">
        <w:rPr>
          <w:b/>
        </w:rPr>
        <w:t>Władysławowo</w:t>
      </w:r>
      <w:r>
        <w:t xml:space="preserve">, Aleja Gwiazd </w:t>
      </w:r>
    </w:p>
    <w:p w14:paraId="780F0D78" w14:textId="46817CA3" w:rsidR="00F233F6" w:rsidRDefault="00F233F6" w:rsidP="0015107B">
      <w:pPr>
        <w:pStyle w:val="Akapitzlist"/>
        <w:numPr>
          <w:ilvl w:val="2"/>
          <w:numId w:val="3"/>
        </w:numPr>
        <w:ind w:left="709"/>
        <w:jc w:val="both"/>
      </w:pPr>
      <w:r>
        <w:t xml:space="preserve">4 sierpnia – </w:t>
      </w:r>
      <w:r w:rsidRPr="00F233F6">
        <w:rPr>
          <w:b/>
        </w:rPr>
        <w:t>Sopot</w:t>
      </w:r>
      <w:r>
        <w:t xml:space="preserve">, Plac Przyjaciół Sopotu </w:t>
      </w:r>
    </w:p>
    <w:p w14:paraId="4AAC13D4" w14:textId="1B64A6D9" w:rsidR="00F233F6" w:rsidRDefault="00F233F6" w:rsidP="0015107B">
      <w:pPr>
        <w:pStyle w:val="Akapitzlist"/>
        <w:numPr>
          <w:ilvl w:val="2"/>
          <w:numId w:val="3"/>
        </w:numPr>
        <w:ind w:left="709"/>
        <w:jc w:val="both"/>
      </w:pPr>
      <w:r>
        <w:t xml:space="preserve">15 sierpnia – </w:t>
      </w:r>
      <w:r w:rsidRPr="00F233F6">
        <w:rPr>
          <w:b/>
        </w:rPr>
        <w:t>Zakopane</w:t>
      </w:r>
      <w:r>
        <w:t xml:space="preserve">, Gubałówka </w:t>
      </w:r>
    </w:p>
    <w:p w14:paraId="03BFC9D4" w14:textId="116FB7FD" w:rsidR="00112700" w:rsidRDefault="00112700" w:rsidP="00CF644A">
      <w:pPr>
        <w:jc w:val="both"/>
        <w:rPr>
          <w:i/>
        </w:rPr>
      </w:pPr>
      <w:r w:rsidRPr="003A3DDF">
        <w:rPr>
          <w:i/>
        </w:rPr>
        <w:t>Wszystkie wydarzenia odbywają się w godzinach: 10:00-19:00</w:t>
      </w:r>
      <w:r w:rsidR="003D153B">
        <w:rPr>
          <w:i/>
        </w:rPr>
        <w:t>.</w:t>
      </w:r>
    </w:p>
    <w:p w14:paraId="012AC67E" w14:textId="77777777" w:rsidR="003A3DDF" w:rsidRPr="00CF644A" w:rsidRDefault="003A3DDF" w:rsidP="00CF644A">
      <w:pPr>
        <w:jc w:val="both"/>
        <w:rPr>
          <w:i/>
        </w:rPr>
      </w:pPr>
    </w:p>
    <w:p w14:paraId="6C21F675" w14:textId="77777777" w:rsidR="0015107B" w:rsidRPr="006853DF" w:rsidRDefault="0015107B" w:rsidP="0015107B">
      <w:pPr>
        <w:spacing w:after="240"/>
        <w:jc w:val="both"/>
        <w:rPr>
          <w:rFonts w:eastAsia="Arial" w:cs="Arial"/>
          <w:b/>
          <w:bCs/>
        </w:rPr>
      </w:pPr>
      <w:r w:rsidRPr="006853DF">
        <w:rPr>
          <w:b/>
          <w:bCs/>
        </w:rPr>
        <w:t xml:space="preserve">BNP </w:t>
      </w:r>
      <w:proofErr w:type="spellStart"/>
      <w:r w:rsidRPr="006853DF">
        <w:rPr>
          <w:b/>
          <w:bCs/>
        </w:rPr>
        <w:t>Paribas</w:t>
      </w:r>
      <w:proofErr w:type="spellEnd"/>
      <w:r w:rsidRPr="006853DF">
        <w:rPr>
          <w:b/>
          <w:bCs/>
        </w:rPr>
        <w:t xml:space="preserve"> – We </w:t>
      </w:r>
      <w:proofErr w:type="spellStart"/>
      <w:r w:rsidRPr="006853DF">
        <w:rPr>
          <w:b/>
          <w:bCs/>
        </w:rPr>
        <w:t>are</w:t>
      </w:r>
      <w:proofErr w:type="spellEnd"/>
      <w:r w:rsidRPr="006853DF">
        <w:rPr>
          <w:b/>
          <w:bCs/>
        </w:rPr>
        <w:t xml:space="preserve"> </w:t>
      </w:r>
      <w:proofErr w:type="spellStart"/>
      <w:r w:rsidRPr="006853DF">
        <w:rPr>
          <w:b/>
          <w:bCs/>
        </w:rPr>
        <w:t>tennis</w:t>
      </w:r>
      <w:proofErr w:type="spellEnd"/>
    </w:p>
    <w:p w14:paraId="6DF8E7E7" w14:textId="5C07F436" w:rsidR="0015107B" w:rsidRPr="004D4A52" w:rsidRDefault="0015107B" w:rsidP="0015107B">
      <w:pPr>
        <w:spacing w:after="240"/>
        <w:jc w:val="both"/>
        <w:rPr>
          <w:rFonts w:eastAsia="Arial" w:cs="Arial"/>
        </w:rPr>
      </w:pPr>
      <w:r w:rsidRPr="004D4A52">
        <w:t xml:space="preserve">Grupa BNP </w:t>
      </w:r>
      <w:proofErr w:type="spellStart"/>
      <w:r w:rsidRPr="004D4A52">
        <w:t>Paribas</w:t>
      </w:r>
      <w:proofErr w:type="spellEnd"/>
      <w:r w:rsidRPr="004D4A52">
        <w:t xml:space="preserve"> jest największym sponsorem t</w:t>
      </w:r>
      <w:r>
        <w:t>enisa na świecie już od ponad 4</w:t>
      </w:r>
      <w:r w:rsidR="00F233F6">
        <w:t>4</w:t>
      </w:r>
      <w:r w:rsidRPr="004D4A52">
        <w:t xml:space="preserve"> lat. Związek BNP </w:t>
      </w:r>
      <w:proofErr w:type="spellStart"/>
      <w:r w:rsidRPr="004D4A52">
        <w:t>Paribas</w:t>
      </w:r>
      <w:proofErr w:type="spellEnd"/>
      <w:r w:rsidRPr="004D4A52">
        <w:t xml:space="preserve"> i tenisa to dużo więcej niż sponsoring – to trwały element budujący wizerunek marki na całym świecie i prawdziwa pasja do sportu, który stał się częścią tożsamości marki grupy. </w:t>
      </w:r>
    </w:p>
    <w:p w14:paraId="00E57D70" w14:textId="6BC12BE1" w:rsidR="0015107B" w:rsidRPr="004D4A52" w:rsidRDefault="0015107B" w:rsidP="0015107B">
      <w:pPr>
        <w:spacing w:after="240"/>
        <w:jc w:val="both"/>
        <w:rPr>
          <w:rFonts w:eastAsia="Arial" w:cs="Arial"/>
        </w:rPr>
      </w:pPr>
      <w:r w:rsidRPr="004D4A52">
        <w:t xml:space="preserve">W roku 1973 Francuska Federacja Tenisowa zamierzała zbudować loże dla honorowych gości turnieju wielkoszlemowego Rolanda Garrosa. Zwróciła się do BNP o wsparcie finansowe tego projektu, w zamian oferując zamieszczenie logo BNP na banerach wokół kortów. Dziś możemy je oglądać na kortach zarówno wielkiego, jak i małego formatu. W sumie na całym świecie logo BNP </w:t>
      </w:r>
      <w:proofErr w:type="spellStart"/>
      <w:r w:rsidRPr="004D4A52">
        <w:t>Paribas</w:t>
      </w:r>
      <w:proofErr w:type="spellEnd"/>
      <w:r w:rsidRPr="004D4A52">
        <w:t xml:space="preserve"> pojawia się na ponad 40 kilometrach banerów wokół kortów – zarówno przy okazji turniejów wielkoszlemowych, jak i w szkółkach tenisowych czy rodzinnych klubach.</w:t>
      </w:r>
    </w:p>
    <w:p w14:paraId="7F09D02E" w14:textId="08BEEE83" w:rsidR="0015107B" w:rsidRPr="004D4A52" w:rsidRDefault="0015107B" w:rsidP="0015107B">
      <w:pPr>
        <w:spacing w:after="240"/>
        <w:jc w:val="both"/>
        <w:rPr>
          <w:rFonts w:eastAsia="Arial" w:cs="Arial"/>
        </w:rPr>
      </w:pPr>
      <w:r w:rsidRPr="004D4A52">
        <w:t xml:space="preserve">Ta długotrwała więź BNP </w:t>
      </w:r>
      <w:proofErr w:type="spellStart"/>
      <w:r w:rsidRPr="004D4A52">
        <w:t>Paribas</w:t>
      </w:r>
      <w:proofErr w:type="spellEnd"/>
      <w:r w:rsidRPr="004D4A52">
        <w:t xml:space="preserve"> z tenisem miała duże znaczenie dla budowania wizerunku Grupy BNP </w:t>
      </w:r>
      <w:proofErr w:type="spellStart"/>
      <w:r w:rsidRPr="004D4A52">
        <w:t>Paribas</w:t>
      </w:r>
      <w:proofErr w:type="spellEnd"/>
      <w:r w:rsidRPr="004D4A52">
        <w:t xml:space="preserve">. </w:t>
      </w:r>
      <w:r w:rsidR="003D153B" w:rsidRPr="003D153B">
        <w:t>Hasłem przewodnim Banku, jakim posługuje się w ramach programu jest</w:t>
      </w:r>
      <w:r w:rsidR="003D153B" w:rsidRPr="00DA797A">
        <w:rPr>
          <w:sz w:val="24"/>
          <w:szCs w:val="24"/>
        </w:rPr>
        <w:t xml:space="preserve"> </w:t>
      </w:r>
      <w:r w:rsidRPr="004D4A52">
        <w:t xml:space="preserve">„We </w:t>
      </w:r>
      <w:proofErr w:type="spellStart"/>
      <w:r w:rsidRPr="004D4A52">
        <w:t>are</w:t>
      </w:r>
      <w:proofErr w:type="spellEnd"/>
      <w:r w:rsidRPr="004D4A52">
        <w:t xml:space="preserve"> </w:t>
      </w:r>
      <w:proofErr w:type="spellStart"/>
      <w:r w:rsidRPr="004D4A52">
        <w:t>tennis</w:t>
      </w:r>
      <w:proofErr w:type="spellEnd"/>
      <w:r w:rsidRPr="004D4A52">
        <w:t xml:space="preserve">” – Tenis to my. Wynika to z faktu, że </w:t>
      </w:r>
      <w:r w:rsidR="003D153B">
        <w:t>G</w:t>
      </w:r>
      <w:r w:rsidRPr="004D4A52">
        <w:t xml:space="preserve">rupa angażuje się w rozwój tenisa, jako dyscypliny sportowej i to na wszystkich poziomach: rozgrywek </w:t>
      </w:r>
      <w:r w:rsidR="001A3CEA">
        <w:t xml:space="preserve">profesjonalnych, </w:t>
      </w:r>
      <w:r w:rsidRPr="004D4A52">
        <w:t xml:space="preserve">rozgrywek amatorskich i </w:t>
      </w:r>
      <w:r w:rsidRPr="004D4A52">
        <w:lastRenderedPageBreak/>
        <w:t xml:space="preserve">juniorów oraz tenisistów niepełnosprawnych. Efektem działań promocyjnych jest również informacyjno-społecznościowy portal </w:t>
      </w:r>
      <w:hyperlink r:id="rId9" w:history="1">
        <w:r w:rsidRPr="004D4A52">
          <w:rPr>
            <w:rStyle w:val="Hyperlink0"/>
            <w:rFonts w:ascii="Calibri" w:hAnsi="Calibri"/>
            <w:sz w:val="22"/>
            <w:szCs w:val="22"/>
          </w:rPr>
          <w:t>www.wearetennis.com</w:t>
        </w:r>
      </w:hyperlink>
      <w:r w:rsidRPr="004D4A52">
        <w:t xml:space="preserve">. </w:t>
      </w:r>
    </w:p>
    <w:p w14:paraId="121BB702" w14:textId="105C44BE" w:rsidR="0015107B" w:rsidRPr="004D4A52" w:rsidRDefault="0015107B" w:rsidP="0015107B">
      <w:pPr>
        <w:spacing w:after="0" w:line="240" w:lineRule="auto"/>
        <w:rPr>
          <w:b/>
          <w:bCs/>
        </w:rPr>
      </w:pPr>
    </w:p>
    <w:p w14:paraId="4C4878BB" w14:textId="674B18F8" w:rsidR="0015107B" w:rsidRPr="004D4A52" w:rsidRDefault="0015107B" w:rsidP="0015107B">
      <w:pPr>
        <w:rPr>
          <w:b/>
          <w:bCs/>
        </w:rPr>
      </w:pPr>
      <w:r w:rsidRPr="004D4A52">
        <w:rPr>
          <w:b/>
          <w:bCs/>
        </w:rPr>
        <w:t>Dodatkowe informacje:</w:t>
      </w:r>
    </w:p>
    <w:p w14:paraId="134C6FD5" w14:textId="77777777" w:rsidR="0015107B" w:rsidRPr="004D4A52" w:rsidRDefault="0015107B" w:rsidP="0015107B">
      <w:pPr>
        <w:rPr>
          <w:b/>
          <w:bCs/>
        </w:rPr>
      </w:pPr>
    </w:p>
    <w:p w14:paraId="54460DB6" w14:textId="77777777" w:rsidR="0015107B" w:rsidRPr="00CF644A" w:rsidRDefault="0015107B" w:rsidP="0015107B">
      <w:pPr>
        <w:rPr>
          <w:b/>
        </w:rPr>
      </w:pPr>
      <w:r>
        <w:rPr>
          <w:b/>
        </w:rPr>
        <w:t>Jędrzej Hugo-Bader</w:t>
      </w:r>
    </w:p>
    <w:p w14:paraId="1E88DDAE" w14:textId="77777777" w:rsidR="0015107B" w:rsidRDefault="0015107B" w:rsidP="0015107B">
      <w:r>
        <w:t>Biuro prasowe akcji Dzieciaki do Rakiet</w:t>
      </w:r>
    </w:p>
    <w:p w14:paraId="03AD1888" w14:textId="77777777" w:rsidR="0015107B" w:rsidRPr="00CF644A" w:rsidRDefault="0015107B" w:rsidP="0015107B">
      <w:pPr>
        <w:rPr>
          <w:lang w:val="en-US"/>
        </w:rPr>
      </w:pPr>
      <w:r w:rsidRPr="00CF644A">
        <w:rPr>
          <w:lang w:val="en-US"/>
        </w:rPr>
        <w:t>Havas Sports &amp; Entertainment</w:t>
      </w:r>
    </w:p>
    <w:p w14:paraId="2292D55A" w14:textId="77777777" w:rsidR="0015107B" w:rsidRPr="00CF644A" w:rsidRDefault="001B1F76" w:rsidP="0015107B">
      <w:pPr>
        <w:rPr>
          <w:lang w:val="en-US"/>
        </w:rPr>
      </w:pPr>
      <w:hyperlink r:id="rId10" w:history="1">
        <w:r w:rsidR="0015107B" w:rsidRPr="00CF644A">
          <w:rPr>
            <w:rStyle w:val="Hipercze"/>
            <w:lang w:val="en-US"/>
          </w:rPr>
          <w:t>jedrzej.hugo-bader@havas-se.com</w:t>
        </w:r>
      </w:hyperlink>
      <w:r w:rsidR="0015107B" w:rsidRPr="00CF644A">
        <w:rPr>
          <w:lang w:val="en-US"/>
        </w:rPr>
        <w:t xml:space="preserve"> </w:t>
      </w:r>
    </w:p>
    <w:p w14:paraId="760F9D28" w14:textId="77777777" w:rsidR="0015107B" w:rsidRDefault="0015107B" w:rsidP="0015107B">
      <w:r>
        <w:t xml:space="preserve">tel. 503 028 680 </w:t>
      </w:r>
    </w:p>
    <w:p w14:paraId="41A0D2B6" w14:textId="77777777" w:rsidR="0015107B" w:rsidRPr="0015107B" w:rsidRDefault="0015107B" w:rsidP="0015107B">
      <w:pPr>
        <w:rPr>
          <w:u w:val="single"/>
        </w:rPr>
      </w:pPr>
    </w:p>
    <w:p w14:paraId="51C0549A" w14:textId="1E113314" w:rsidR="0015107B" w:rsidRPr="004D4A52" w:rsidRDefault="0015107B" w:rsidP="0015107B">
      <w:pPr>
        <w:rPr>
          <w:b/>
          <w:bCs/>
        </w:rPr>
      </w:pPr>
      <w:r>
        <w:rPr>
          <w:b/>
          <w:bCs/>
        </w:rPr>
        <w:t>Izabela Tworzydło</w:t>
      </w:r>
    </w:p>
    <w:p w14:paraId="60041CA4" w14:textId="642DFA73" w:rsidR="00F86163" w:rsidRDefault="00F86163" w:rsidP="0015107B">
      <w:r>
        <w:t>Rzecznik prasowy</w:t>
      </w:r>
    </w:p>
    <w:p w14:paraId="5A7A7288" w14:textId="77777777" w:rsidR="0015107B" w:rsidRPr="004D4A52" w:rsidRDefault="0015107B" w:rsidP="0015107B">
      <w:r w:rsidRPr="004D4A52">
        <w:t xml:space="preserve">Bank BGŻ BNP </w:t>
      </w:r>
      <w:proofErr w:type="spellStart"/>
      <w:r w:rsidRPr="004D4A52">
        <w:t>Paribas</w:t>
      </w:r>
      <w:proofErr w:type="spellEnd"/>
    </w:p>
    <w:p w14:paraId="2688BC66" w14:textId="216AAE9B" w:rsidR="0015107B" w:rsidRPr="004D4A52" w:rsidRDefault="001B1F76" w:rsidP="0015107B">
      <w:hyperlink r:id="rId11" w:history="1">
        <w:r w:rsidR="0015107B" w:rsidRPr="001167D3">
          <w:rPr>
            <w:rStyle w:val="Hipercze"/>
            <w:u w:color="0563C1"/>
          </w:rPr>
          <w:t>izabela.tworzydlo@bgzbnpparibas.pl</w:t>
        </w:r>
      </w:hyperlink>
    </w:p>
    <w:p w14:paraId="66B06B98" w14:textId="33E37A9E" w:rsidR="0015107B" w:rsidRPr="004D4A52" w:rsidRDefault="0015107B" w:rsidP="0015107B">
      <w:r w:rsidRPr="004D4A52">
        <w:t xml:space="preserve">tel. </w:t>
      </w:r>
      <w:r>
        <w:t>607 449 849</w:t>
      </w:r>
      <w:r w:rsidRPr="004D4A52">
        <w:t xml:space="preserve"> </w:t>
      </w:r>
    </w:p>
    <w:p w14:paraId="26BC05BC" w14:textId="77777777" w:rsidR="00CF644A" w:rsidRDefault="00CF644A" w:rsidP="00112700"/>
    <w:sectPr w:rsidR="00CF644A">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BA596" w14:textId="77777777" w:rsidR="008D6846" w:rsidRDefault="008D6846" w:rsidP="00534E85">
      <w:pPr>
        <w:spacing w:after="0" w:line="240" w:lineRule="auto"/>
      </w:pPr>
      <w:r>
        <w:separator/>
      </w:r>
    </w:p>
  </w:endnote>
  <w:endnote w:type="continuationSeparator" w:id="0">
    <w:p w14:paraId="34BFAAEF" w14:textId="77777777" w:rsidR="008D6846" w:rsidRDefault="008D6846" w:rsidP="00534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5B47D" w14:textId="620FBBBB" w:rsidR="000F4344" w:rsidRDefault="000F4344" w:rsidP="00EF3DA9">
    <w:pPr>
      <w:pStyle w:val="Stopka"/>
      <w:jc w:val="both"/>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F9555" w14:textId="77777777" w:rsidR="008D6846" w:rsidRDefault="008D6846" w:rsidP="00534E85">
      <w:pPr>
        <w:spacing w:after="0" w:line="240" w:lineRule="auto"/>
      </w:pPr>
      <w:r>
        <w:separator/>
      </w:r>
    </w:p>
  </w:footnote>
  <w:footnote w:type="continuationSeparator" w:id="0">
    <w:p w14:paraId="62BC7BF7" w14:textId="77777777" w:rsidR="008D6846" w:rsidRDefault="008D6846" w:rsidP="00534E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D60C7" w14:textId="18661B59" w:rsidR="000F4344" w:rsidRDefault="00EF3DA9" w:rsidP="000F4344">
    <w:pPr>
      <w:pStyle w:val="Nagwek"/>
      <w:jc w:val="both"/>
      <w:rPr>
        <w:i/>
      </w:rPr>
    </w:pPr>
    <w:r w:rsidRPr="000F4344">
      <w:rPr>
        <w:noProof/>
        <w:lang w:eastAsia="pl-PL"/>
      </w:rPr>
      <w:drawing>
        <wp:inline distT="0" distB="0" distL="0" distR="0" wp14:anchorId="68176E42" wp14:editId="7B5AA38C">
          <wp:extent cx="1639992" cy="319405"/>
          <wp:effectExtent l="0" t="0" r="0" b="444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6300" cy="345952"/>
                  </a:xfrm>
                  <a:prstGeom prst="rect">
                    <a:avLst/>
                  </a:prstGeom>
                  <a:noFill/>
                  <a:ln>
                    <a:noFill/>
                  </a:ln>
                </pic:spPr>
              </pic:pic>
            </a:graphicData>
          </a:graphic>
        </wp:inline>
      </w:drawing>
    </w:r>
    <w:r w:rsidR="000F4344">
      <w:tab/>
    </w:r>
    <w:r w:rsidR="000F4344">
      <w:tab/>
    </w:r>
    <w:r w:rsidRPr="00EF3DA9">
      <w:rPr>
        <w:noProof/>
        <w:lang w:eastAsia="pl-PL"/>
      </w:rPr>
      <w:drawing>
        <wp:inline distT="0" distB="0" distL="0" distR="0" wp14:anchorId="2033DD88" wp14:editId="2CA7B82C">
          <wp:extent cx="973909" cy="391160"/>
          <wp:effectExtent l="0" t="0" r="0" b="8890"/>
          <wp:docPr id="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3"/>
                  <pic:cNvPicPr>
                    <a:picLocks noChangeAspect="1"/>
                  </pic:cNvPicPr>
                </pic:nvPicPr>
                <pic:blipFill rotWithShape="1">
                  <a:blip r:embed="rId2">
                    <a:extLst>
                      <a:ext uri="{28A0092B-C50C-407E-A947-70E740481C1C}">
                        <a14:useLocalDpi xmlns:a14="http://schemas.microsoft.com/office/drawing/2010/main" val="0"/>
                      </a:ext>
                    </a:extLst>
                  </a:blip>
                  <a:srcRect l="12791" t="2353" r="11760" b="78431"/>
                  <a:stretch/>
                </pic:blipFill>
                <pic:spPr>
                  <a:xfrm>
                    <a:off x="0" y="0"/>
                    <a:ext cx="1025233" cy="411774"/>
                  </a:xfrm>
                  <a:prstGeom prst="rect">
                    <a:avLst/>
                  </a:prstGeom>
                </pic:spPr>
              </pic:pic>
            </a:graphicData>
          </a:graphic>
        </wp:inline>
      </w:drawing>
    </w:r>
  </w:p>
  <w:p w14:paraId="6646A010" w14:textId="77777777" w:rsidR="000F4344" w:rsidRDefault="000F4344" w:rsidP="000F4344">
    <w:pPr>
      <w:pStyle w:val="Nagwek"/>
      <w:jc w:val="both"/>
    </w:pPr>
    <w:r>
      <w:rPr>
        <w:noProof/>
        <w:lang w:eastAsia="pl-PL"/>
      </w:rPr>
      <mc:AlternateContent>
        <mc:Choice Requires="wps">
          <w:drawing>
            <wp:anchor distT="0" distB="0" distL="114300" distR="114300" simplePos="0" relativeHeight="251659264" behindDoc="0" locked="0" layoutInCell="1" allowOverlap="1" wp14:anchorId="76F22DAB" wp14:editId="43CEE086">
              <wp:simplePos x="0" y="0"/>
              <wp:positionH relativeFrom="margin">
                <wp:posOffset>0</wp:posOffset>
              </wp:positionH>
              <wp:positionV relativeFrom="paragraph">
                <wp:posOffset>-635</wp:posOffset>
              </wp:positionV>
              <wp:extent cx="5727674" cy="0"/>
              <wp:effectExtent l="0" t="0" r="26035" b="19050"/>
              <wp:wrapNone/>
              <wp:docPr id="2" name="Łącznik prosty 2"/>
              <wp:cNvGraphicFramePr/>
              <a:graphic xmlns:a="http://schemas.openxmlformats.org/drawingml/2006/main">
                <a:graphicData uri="http://schemas.microsoft.com/office/word/2010/wordprocessingShape">
                  <wps:wsp>
                    <wps:cNvCnPr/>
                    <wps:spPr>
                      <a:xfrm>
                        <a:off x="0" y="0"/>
                        <a:ext cx="5727674" cy="0"/>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D655ED" id="Łącznik prosty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5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" strokecolor="#00b050"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5D1DA0"/>
    <w:multiLevelType w:val="hybridMultilevel"/>
    <w:tmpl w:val="B8CE5536"/>
    <w:lvl w:ilvl="0" w:tplc="1CD20FDE">
      <w:start w:val="1"/>
      <w:numFmt w:val="upperRoman"/>
      <w:lvlText w:val="%1."/>
      <w:lvlJc w:val="left"/>
      <w:pPr>
        <w:ind w:left="1080" w:hanging="720"/>
      </w:pPr>
      <w:rPr>
        <w:rFonts w:hint="default"/>
      </w:rPr>
    </w:lvl>
    <w:lvl w:ilvl="1" w:tplc="0415000F">
      <w:start w:val="1"/>
      <w:numFmt w:val="decimal"/>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37B6779"/>
    <w:multiLevelType w:val="hybridMultilevel"/>
    <w:tmpl w:val="D88036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D777B7D"/>
    <w:multiLevelType w:val="hybridMultilevel"/>
    <w:tmpl w:val="9370BD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17CE"/>
    <w:rsid w:val="000375CF"/>
    <w:rsid w:val="00044B98"/>
    <w:rsid w:val="000F4344"/>
    <w:rsid w:val="00112700"/>
    <w:rsid w:val="00135D64"/>
    <w:rsid w:val="0015107B"/>
    <w:rsid w:val="001A3CEA"/>
    <w:rsid w:val="001B1F76"/>
    <w:rsid w:val="00247F23"/>
    <w:rsid w:val="002E0A3F"/>
    <w:rsid w:val="002E26BF"/>
    <w:rsid w:val="002F7E05"/>
    <w:rsid w:val="00346298"/>
    <w:rsid w:val="00366B6D"/>
    <w:rsid w:val="003A3DDF"/>
    <w:rsid w:val="003D153B"/>
    <w:rsid w:val="00410523"/>
    <w:rsid w:val="00534E85"/>
    <w:rsid w:val="00555BD2"/>
    <w:rsid w:val="005C33DF"/>
    <w:rsid w:val="00601165"/>
    <w:rsid w:val="006853DF"/>
    <w:rsid w:val="006C1C66"/>
    <w:rsid w:val="007422A3"/>
    <w:rsid w:val="007437B2"/>
    <w:rsid w:val="007824B6"/>
    <w:rsid w:val="007D2CCC"/>
    <w:rsid w:val="007E5A74"/>
    <w:rsid w:val="008526AF"/>
    <w:rsid w:val="008A5B01"/>
    <w:rsid w:val="008D6846"/>
    <w:rsid w:val="008E0B70"/>
    <w:rsid w:val="00903D7B"/>
    <w:rsid w:val="009554DB"/>
    <w:rsid w:val="009F45A0"/>
    <w:rsid w:val="00A0616D"/>
    <w:rsid w:val="00A124EC"/>
    <w:rsid w:val="00A26C55"/>
    <w:rsid w:val="00AE0F08"/>
    <w:rsid w:val="00B972B6"/>
    <w:rsid w:val="00CF644A"/>
    <w:rsid w:val="00D07F0E"/>
    <w:rsid w:val="00DE17CE"/>
    <w:rsid w:val="00E6514A"/>
    <w:rsid w:val="00E77DED"/>
    <w:rsid w:val="00EF3DA9"/>
    <w:rsid w:val="00F233F6"/>
    <w:rsid w:val="00F76157"/>
    <w:rsid w:val="00F861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848353D"/>
  <w15:docId w15:val="{CB9892F7-006F-4343-A97B-A5F7DAD2C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437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7437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7437B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534E8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34E85"/>
    <w:rPr>
      <w:sz w:val="20"/>
      <w:szCs w:val="20"/>
    </w:rPr>
  </w:style>
  <w:style w:type="character" w:styleId="Odwoanieprzypisukocowego">
    <w:name w:val="endnote reference"/>
    <w:basedOn w:val="Domylnaczcionkaakapitu"/>
    <w:uiPriority w:val="99"/>
    <w:semiHidden/>
    <w:unhideWhenUsed/>
    <w:rsid w:val="00534E85"/>
    <w:rPr>
      <w:vertAlign w:val="superscript"/>
    </w:rPr>
  </w:style>
  <w:style w:type="paragraph" w:styleId="Nagwek">
    <w:name w:val="header"/>
    <w:basedOn w:val="Normalny"/>
    <w:link w:val="NagwekZnak"/>
    <w:uiPriority w:val="99"/>
    <w:unhideWhenUsed/>
    <w:rsid w:val="000F43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4344"/>
  </w:style>
  <w:style w:type="paragraph" w:styleId="Stopka">
    <w:name w:val="footer"/>
    <w:basedOn w:val="Normalny"/>
    <w:link w:val="StopkaZnak"/>
    <w:uiPriority w:val="99"/>
    <w:unhideWhenUsed/>
    <w:rsid w:val="000F434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4344"/>
  </w:style>
  <w:style w:type="character" w:styleId="Odwoaniedokomentarza">
    <w:name w:val="annotation reference"/>
    <w:basedOn w:val="Domylnaczcionkaakapitu"/>
    <w:uiPriority w:val="99"/>
    <w:semiHidden/>
    <w:unhideWhenUsed/>
    <w:rsid w:val="00CF644A"/>
    <w:rPr>
      <w:sz w:val="16"/>
      <w:szCs w:val="16"/>
    </w:rPr>
  </w:style>
  <w:style w:type="paragraph" w:styleId="Tekstkomentarza">
    <w:name w:val="annotation text"/>
    <w:basedOn w:val="Normalny"/>
    <w:link w:val="TekstkomentarzaZnak"/>
    <w:uiPriority w:val="99"/>
    <w:semiHidden/>
    <w:unhideWhenUsed/>
    <w:rsid w:val="00CF644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F644A"/>
    <w:rPr>
      <w:sz w:val="20"/>
      <w:szCs w:val="20"/>
    </w:rPr>
  </w:style>
  <w:style w:type="paragraph" w:styleId="Tematkomentarza">
    <w:name w:val="annotation subject"/>
    <w:basedOn w:val="Tekstkomentarza"/>
    <w:next w:val="Tekstkomentarza"/>
    <w:link w:val="TematkomentarzaZnak"/>
    <w:uiPriority w:val="99"/>
    <w:semiHidden/>
    <w:unhideWhenUsed/>
    <w:rsid w:val="00CF644A"/>
    <w:rPr>
      <w:b/>
      <w:bCs/>
    </w:rPr>
  </w:style>
  <w:style w:type="character" w:customStyle="1" w:styleId="TematkomentarzaZnak">
    <w:name w:val="Temat komentarza Znak"/>
    <w:basedOn w:val="TekstkomentarzaZnak"/>
    <w:link w:val="Tematkomentarza"/>
    <w:uiPriority w:val="99"/>
    <w:semiHidden/>
    <w:rsid w:val="00CF644A"/>
    <w:rPr>
      <w:b/>
      <w:bCs/>
      <w:sz w:val="20"/>
      <w:szCs w:val="20"/>
    </w:rPr>
  </w:style>
  <w:style w:type="paragraph" w:styleId="Tekstdymka">
    <w:name w:val="Balloon Text"/>
    <w:basedOn w:val="Normalny"/>
    <w:link w:val="TekstdymkaZnak"/>
    <w:uiPriority w:val="99"/>
    <w:semiHidden/>
    <w:unhideWhenUsed/>
    <w:rsid w:val="00CF644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F644A"/>
    <w:rPr>
      <w:rFonts w:ascii="Segoe UI" w:hAnsi="Segoe UI" w:cs="Segoe UI"/>
      <w:sz w:val="18"/>
      <w:szCs w:val="18"/>
    </w:rPr>
  </w:style>
  <w:style w:type="paragraph" w:styleId="Akapitzlist">
    <w:name w:val="List Paragraph"/>
    <w:basedOn w:val="Normalny"/>
    <w:uiPriority w:val="34"/>
    <w:qFormat/>
    <w:rsid w:val="00CF644A"/>
    <w:pPr>
      <w:ind w:left="720"/>
      <w:contextualSpacing/>
    </w:pPr>
  </w:style>
  <w:style w:type="character" w:styleId="Hipercze">
    <w:name w:val="Hyperlink"/>
    <w:basedOn w:val="Domylnaczcionkaakapitu"/>
    <w:uiPriority w:val="99"/>
    <w:unhideWhenUsed/>
    <w:rsid w:val="00CF644A"/>
    <w:rPr>
      <w:color w:val="0563C1" w:themeColor="hyperlink"/>
      <w:u w:val="single"/>
    </w:rPr>
  </w:style>
  <w:style w:type="character" w:customStyle="1" w:styleId="cze">
    <w:name w:val="Łącze"/>
    <w:rsid w:val="0015107B"/>
    <w:rPr>
      <w:color w:val="0563C1"/>
      <w:u w:val="single" w:color="0563C1"/>
    </w:rPr>
  </w:style>
  <w:style w:type="character" w:customStyle="1" w:styleId="Hyperlink0">
    <w:name w:val="Hyperlink.0"/>
    <w:basedOn w:val="cze"/>
    <w:rsid w:val="0015107B"/>
    <w:rPr>
      <w:rFonts w:ascii="Arial" w:eastAsia="Arial" w:hAnsi="Arial" w:cs="Arial"/>
      <w:b/>
      <w:bCs/>
      <w:color w:val="000000"/>
      <w:sz w:val="18"/>
      <w:szCs w:val="18"/>
      <w:u w:val="single" w:color="000000"/>
    </w:rPr>
  </w:style>
  <w:style w:type="character" w:customStyle="1" w:styleId="Nagwek1Znak">
    <w:name w:val="Nagłówek 1 Znak"/>
    <w:basedOn w:val="Domylnaczcionkaakapitu"/>
    <w:link w:val="Nagwek1"/>
    <w:uiPriority w:val="9"/>
    <w:rsid w:val="007437B2"/>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7437B2"/>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7437B2"/>
    <w:rPr>
      <w:rFonts w:asciiTheme="majorHAnsi" w:eastAsiaTheme="majorEastAsia" w:hAnsiTheme="majorHAnsi" w:cstheme="majorBidi"/>
      <w:color w:val="1F4D78" w:themeColor="accent1" w:themeShade="7F"/>
      <w:sz w:val="24"/>
      <w:szCs w:val="24"/>
    </w:rPr>
  </w:style>
  <w:style w:type="paragraph" w:styleId="Lista">
    <w:name w:val="List"/>
    <w:basedOn w:val="Normalny"/>
    <w:uiPriority w:val="99"/>
    <w:unhideWhenUsed/>
    <w:rsid w:val="007437B2"/>
    <w:pPr>
      <w:ind w:left="283" w:hanging="283"/>
      <w:contextualSpacing/>
    </w:pPr>
  </w:style>
  <w:style w:type="paragraph" w:styleId="Tekstpodstawowy">
    <w:name w:val="Body Text"/>
    <w:basedOn w:val="Normalny"/>
    <w:link w:val="TekstpodstawowyZnak"/>
    <w:uiPriority w:val="99"/>
    <w:unhideWhenUsed/>
    <w:rsid w:val="007437B2"/>
    <w:pPr>
      <w:spacing w:after="120"/>
    </w:pPr>
  </w:style>
  <w:style w:type="character" w:customStyle="1" w:styleId="TekstpodstawowyZnak">
    <w:name w:val="Tekst podstawowy Znak"/>
    <w:basedOn w:val="Domylnaczcionkaakapitu"/>
    <w:link w:val="Tekstpodstawowy"/>
    <w:uiPriority w:val="99"/>
    <w:rsid w:val="00743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zieciakidorakiet.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zabela.tworzydlo@bgzbnpparibas.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edrzej.hugo-bader@havas-se.com" TargetMode="External"/><Relationship Id="rId4" Type="http://schemas.openxmlformats.org/officeDocument/2006/relationships/settings" Target="settings.xml"/><Relationship Id="rId9" Type="http://schemas.openxmlformats.org/officeDocument/2006/relationships/hyperlink" Target="http://www.wearetennis.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23FCF-C8CF-40DA-B9FE-25516C947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1365</Words>
  <Characters>8193</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Jedrzej Hugo-Bader</dc:creator>
  <cp:lastModifiedBy>lenovo</cp:lastModifiedBy>
  <cp:revision>5</cp:revision>
  <cp:lastPrinted>2018-05-10T11:17:00Z</cp:lastPrinted>
  <dcterms:created xsi:type="dcterms:W3CDTF">2018-05-11T07:03:00Z</dcterms:created>
  <dcterms:modified xsi:type="dcterms:W3CDTF">2018-05-21T11:38:00Z</dcterms:modified>
</cp:coreProperties>
</file>